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2959" w:rsidRDefault="007B2959" w:rsidP="00BB619D">
      <w:pPr>
        <w:pStyle w:val="BodyText"/>
        <w:spacing w:after="0"/>
        <w:jc w:val="center"/>
        <w:rPr>
          <w:b/>
        </w:rPr>
      </w:pPr>
      <w:r>
        <w:rPr>
          <w:b/>
        </w:rPr>
        <w:t>Будущая пенсия с плюсом</w:t>
      </w:r>
    </w:p>
    <w:p w:rsidR="007B2959" w:rsidRDefault="007B2959" w:rsidP="00D342F2">
      <w:pPr>
        <w:tabs>
          <w:tab w:val="left" w:pos="1710"/>
        </w:tabs>
        <w:ind w:firstLine="709"/>
        <w:jc w:val="both"/>
        <w:rPr>
          <w:lang w:eastAsia="ru-RU"/>
        </w:rPr>
      </w:pPr>
      <w:r w:rsidRPr="007F2C9F">
        <w:t xml:space="preserve">1 октября 2013 года завершился прием заявлений на участие </w:t>
      </w:r>
      <w:r w:rsidRPr="007F2C9F">
        <w:rPr>
          <w:lang w:eastAsia="ru-RU"/>
        </w:rPr>
        <w:t>в Программе государственного софинансирования пенсии.</w:t>
      </w:r>
    </w:p>
    <w:p w:rsidR="007B2959" w:rsidRPr="007F2C9F" w:rsidRDefault="007B2959" w:rsidP="00D342F2">
      <w:pPr>
        <w:tabs>
          <w:tab w:val="left" w:pos="1710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 </w:t>
      </w:r>
      <w:r w:rsidRPr="007F2C9F">
        <w:rPr>
          <w:lang w:eastAsia="ru-RU"/>
        </w:rPr>
        <w:t>В Санкт-Петербурге и Ленинградской области к Программе решили присоединиться 283 822 застрахованных лица. Особую активность граждане проявили в 2013 году, ее участниками стали – 64 818 человек. За время реализации Программы (2009-2013) общая величина поступивших взносов составила 814 552 тыс. рублей.</w:t>
      </w:r>
    </w:p>
    <w:p w:rsidR="007B2959" w:rsidRPr="007F2C9F" w:rsidRDefault="007B2959" w:rsidP="00072511">
      <w:pPr>
        <w:ind w:firstLine="709"/>
        <w:contextualSpacing/>
        <w:jc w:val="both"/>
        <w:rPr>
          <w:lang w:eastAsia="ru-RU"/>
        </w:rPr>
      </w:pPr>
      <w:r w:rsidRPr="007F2C9F">
        <w:rPr>
          <w:lang w:eastAsia="ru-RU"/>
        </w:rPr>
        <w:t>Несмотря на то, что заявления на участие больше не принимаются, г</w:t>
      </w:r>
      <w:r>
        <w:rPr>
          <w:lang w:eastAsia="ru-RU"/>
        </w:rPr>
        <w:t xml:space="preserve">оворить о завершении Программы </w:t>
      </w:r>
      <w:r w:rsidRPr="007F2C9F">
        <w:rPr>
          <w:lang w:eastAsia="ru-RU"/>
        </w:rPr>
        <w:t xml:space="preserve">нельзя. </w:t>
      </w:r>
      <w:r>
        <w:rPr>
          <w:lang w:eastAsia="ru-RU"/>
        </w:rPr>
        <w:t>Г</w:t>
      </w:r>
      <w:r w:rsidRPr="007F2C9F">
        <w:rPr>
          <w:lang w:eastAsia="ru-RU"/>
        </w:rPr>
        <w:t>раждане, вступившие в Программу софинансирования, могу</w:t>
      </w:r>
      <w:r>
        <w:rPr>
          <w:lang w:eastAsia="ru-RU"/>
        </w:rPr>
        <w:t>т уплачив</w:t>
      </w:r>
      <w:r w:rsidRPr="007F2C9F">
        <w:rPr>
          <w:lang w:eastAsia="ru-RU"/>
        </w:rPr>
        <w:t>ать взносы на накопительную часть пенсии и получать средства государственного софинансирования в размере от 2 до 12 тысяч рублей, в зависимости от внесенной суммы</w:t>
      </w:r>
      <w:r>
        <w:rPr>
          <w:lang w:eastAsia="ru-RU"/>
        </w:rPr>
        <w:t>. Участники Программы</w:t>
      </w:r>
      <w:r w:rsidRPr="007F2C9F">
        <w:rPr>
          <w:lang w:eastAsia="ru-RU"/>
        </w:rPr>
        <w:t xml:space="preserve"> вправе пре</w:t>
      </w:r>
      <w:r>
        <w:rPr>
          <w:lang w:eastAsia="ru-RU"/>
        </w:rPr>
        <w:t>кратить или возобновить выплаты в любое удобное время.</w:t>
      </w:r>
    </w:p>
    <w:p w:rsidR="007B2959" w:rsidRPr="007F2C9F" w:rsidRDefault="007B2959" w:rsidP="00072511">
      <w:pPr>
        <w:pStyle w:val="BodyText"/>
        <w:spacing w:after="0"/>
        <w:ind w:firstLine="709"/>
        <w:jc w:val="both"/>
      </w:pPr>
      <w:r w:rsidRPr="007F2C9F">
        <w:rPr>
          <w:lang w:eastAsia="ru-RU"/>
        </w:rPr>
        <w:t xml:space="preserve">Напоминаем, что срок действия государственного софинансирования пенсий - 10 лет с момента первого взноса. </w:t>
      </w:r>
      <w:r w:rsidRPr="007F2C9F">
        <w:t>Перечислять средства можно самостоятельно через кредитную организацию или работодателя, помесячно или разовым платежом. Для у</w:t>
      </w:r>
      <w:r>
        <w:t>добства участников Программы вся необходимая информация</w:t>
      </w:r>
      <w:r w:rsidRPr="007F2C9F">
        <w:t xml:space="preserve">, а также бланк платежной квитанции </w:t>
      </w:r>
      <w:r>
        <w:t xml:space="preserve">размещены </w:t>
      </w:r>
      <w:r w:rsidRPr="007F2C9F">
        <w:t>на официальном сайте Отделения Пенсионного фонда Российской Федерации по Санкт-Петербургу и Ленинградской области (www.pfrf.ru/ot_peter/), в разделе «Программа государственного софинансирования пенсии» в подразделе «Перечислить взносы в рамках Программы». Так же бланк платежной квитанции можно получить в</w:t>
      </w:r>
      <w:r>
        <w:t xml:space="preserve"> Управлении Пенсионного фонда.</w:t>
      </w:r>
    </w:p>
    <w:p w:rsidR="007B2959" w:rsidRDefault="007B2959" w:rsidP="00072511">
      <w:pPr>
        <w:pStyle w:val="BodyText"/>
        <w:spacing w:after="0"/>
        <w:ind w:firstLine="709"/>
        <w:jc w:val="both"/>
        <w:rPr>
          <w:lang w:eastAsia="ru-RU"/>
        </w:rPr>
      </w:pPr>
      <w:r>
        <w:rPr>
          <w:lang w:eastAsia="ru-RU"/>
        </w:rPr>
        <w:t>С 1 июля 2012 года пенсионерам начались выплаты из средств пенсионных накоплений. По состоянию на 1 мая 2014 года единовременно было выплачено 1 127 млн. рублей, выплаты осуществлены 151 705 застрахованным лицам.</w:t>
      </w:r>
    </w:p>
    <w:p w:rsidR="007B2959" w:rsidRPr="007F2C9F" w:rsidRDefault="007B2959" w:rsidP="00072511">
      <w:pPr>
        <w:pStyle w:val="BodyText"/>
        <w:spacing w:after="0"/>
        <w:ind w:firstLine="709"/>
        <w:jc w:val="both"/>
        <w:rPr>
          <w:b/>
        </w:rPr>
      </w:pPr>
      <w:r>
        <w:t xml:space="preserve">До </w:t>
      </w:r>
      <w:r w:rsidRPr="007F2C9F">
        <w:t xml:space="preserve">1 июня 2014 года на лицевые счета застрахованных лиц, участвующих в Программе государственного софинансирования пенсии и уплативших в 2013 году дополнительные страховые взносы в сумме не менее </w:t>
      </w:r>
      <w:r w:rsidRPr="00D342F2">
        <w:t>2000 рублей</w:t>
      </w:r>
      <w:r>
        <w:t>, поступи</w:t>
      </w:r>
      <w:r w:rsidRPr="007F2C9F">
        <w:t xml:space="preserve">т </w:t>
      </w:r>
      <w:r>
        <w:t>софинансирование</w:t>
      </w:r>
      <w:r w:rsidRPr="007F2C9F">
        <w:t xml:space="preserve"> пенсионных накоплений. В этом году жителям Санкт-Петербурга и Ленингра</w:t>
      </w:r>
      <w:r>
        <w:t>дской области из фонда Национального</w:t>
      </w:r>
      <w:r w:rsidRPr="007F2C9F">
        <w:t xml:space="preserve"> Благосостояния будет</w:t>
      </w:r>
      <w:r>
        <w:t xml:space="preserve"> перечислено свыше</w:t>
      </w:r>
      <w:r w:rsidRPr="007F2C9F">
        <w:t xml:space="preserve"> </w:t>
      </w:r>
      <w:r w:rsidRPr="00D342F2">
        <w:t>299 млн. рублей.</w:t>
      </w:r>
    </w:p>
    <w:p w:rsidR="007B2959" w:rsidRPr="007F2C9F" w:rsidRDefault="007B2959" w:rsidP="00072511">
      <w:pPr>
        <w:pStyle w:val="BodyText"/>
        <w:spacing w:after="0"/>
        <w:ind w:firstLine="709"/>
        <w:jc w:val="both"/>
      </w:pPr>
      <w:r w:rsidRPr="007F2C9F">
        <w:t xml:space="preserve">По итогам 2013 года </w:t>
      </w:r>
      <w:r w:rsidRPr="00D342F2">
        <w:t xml:space="preserve">52 </w:t>
      </w:r>
      <w:r w:rsidRPr="007F2C9F">
        <w:t>застрах</w:t>
      </w:r>
      <w:r>
        <w:t>ованным лицам, имеющим право на</w:t>
      </w:r>
      <w:r w:rsidRPr="007F2C9F">
        <w:t xml:space="preserve"> трудовую пенсию и не обратившимся за ее назначением, софинансирование будет произведено в соотношении </w:t>
      </w:r>
      <w:r w:rsidRPr="00D342F2">
        <w:t>1:4 в сумме 2,3 млн. рублей.</w:t>
      </w:r>
    </w:p>
    <w:p w:rsidR="007B2959" w:rsidRPr="00D0241C" w:rsidRDefault="007B2959" w:rsidP="00D0241C">
      <w:pPr>
        <w:ind w:firstLine="709"/>
      </w:pPr>
      <w:r w:rsidRPr="00D0241C">
        <w:t>Сверку страховых взносов следует производить в месяце, следующем после квартала, в котором производились платежи дополнительных страховых взносов.</w:t>
      </w:r>
    </w:p>
    <w:p w:rsidR="007B2959" w:rsidRDefault="007B2959" w:rsidP="00D0241C">
      <w:r w:rsidRPr="00D0241C">
        <w:t>Для сверки уплаченных дополнительных страховых взносов можно обращаться в Управление</w:t>
      </w:r>
      <w:r>
        <w:t xml:space="preserve"> Пенсионного фонда в Кингисеппском районе </w:t>
      </w:r>
      <w:r w:rsidRPr="007F2C9F">
        <w:t xml:space="preserve"> или через </w:t>
      </w:r>
      <w:r w:rsidRPr="007F2C9F">
        <w:rPr>
          <w:lang w:val="en-US"/>
        </w:rPr>
        <w:t>on</w:t>
      </w:r>
      <w:r w:rsidRPr="007F2C9F">
        <w:t>-</w:t>
      </w:r>
      <w:r w:rsidRPr="007F2C9F">
        <w:rPr>
          <w:lang w:val="en-US"/>
        </w:rPr>
        <w:t>line</w:t>
      </w:r>
      <w:r w:rsidRPr="007F2C9F">
        <w:t xml:space="preserve"> приемную Отделения в разделе «Вопросы и ответы» в подразделе «Программа государственного софинансирования пенсии» (</w:t>
      </w:r>
      <w:hyperlink r:id="rId7" w:history="1">
        <w:r w:rsidRPr="007C798E">
          <w:rPr>
            <w:rStyle w:val="Hyperlink"/>
          </w:rPr>
          <w:t xml:space="preserve">www.pfrf.ru/ot_peter/gos_prog/) </w:t>
        </w:r>
      </w:hyperlink>
      <w:r>
        <w:t xml:space="preserve">. </w:t>
      </w:r>
    </w:p>
    <w:p w:rsidR="007B2959" w:rsidRDefault="007B2959" w:rsidP="00BE7F9D">
      <w:pPr>
        <w:pStyle w:val="BodyText"/>
        <w:pBdr>
          <w:bottom w:val="single" w:sz="4" w:space="2" w:color="auto"/>
        </w:pBdr>
        <w:spacing w:after="0"/>
        <w:ind w:firstLine="709"/>
        <w:jc w:val="both"/>
      </w:pPr>
    </w:p>
    <w:p w:rsidR="007B2959" w:rsidRDefault="007B2959" w:rsidP="00D342F2">
      <w:pPr>
        <w:pStyle w:val="BodyText"/>
        <w:pBdr>
          <w:bottom w:val="single" w:sz="4" w:space="2" w:color="auto"/>
        </w:pBdr>
        <w:spacing w:after="0"/>
        <w:ind w:firstLine="709"/>
        <w:jc w:val="both"/>
      </w:pPr>
    </w:p>
    <w:p w:rsidR="007B2959" w:rsidRDefault="007B2959" w:rsidP="00D342F2">
      <w:pPr>
        <w:pStyle w:val="BodyText"/>
        <w:pBdr>
          <w:bottom w:val="single" w:sz="4" w:space="2" w:color="auto"/>
        </w:pBdr>
        <w:spacing w:after="0"/>
        <w:ind w:firstLine="709"/>
        <w:jc w:val="both"/>
      </w:pPr>
      <w:r>
        <w:t xml:space="preserve">                                                                               УПФР в Кингисеппском районе</w:t>
      </w:r>
    </w:p>
    <w:p w:rsidR="007B2959" w:rsidRDefault="007B2959" w:rsidP="00D342F2">
      <w:pPr>
        <w:pStyle w:val="BodyText"/>
        <w:pBdr>
          <w:bottom w:val="single" w:sz="4" w:space="2" w:color="auto"/>
        </w:pBdr>
        <w:spacing w:after="0"/>
        <w:ind w:firstLine="709"/>
        <w:jc w:val="both"/>
      </w:pPr>
    </w:p>
    <w:p w:rsidR="007B2959" w:rsidRDefault="007B2959" w:rsidP="00D342F2">
      <w:pPr>
        <w:pStyle w:val="BodyText"/>
        <w:pBdr>
          <w:bottom w:val="single" w:sz="4" w:space="2" w:color="auto"/>
        </w:pBdr>
        <w:spacing w:after="0"/>
        <w:ind w:firstLine="709"/>
        <w:jc w:val="both"/>
      </w:pPr>
    </w:p>
    <w:p w:rsidR="007B2959" w:rsidRDefault="007B2959" w:rsidP="00D342F2">
      <w:pPr>
        <w:pStyle w:val="BodyText"/>
        <w:pBdr>
          <w:bottom w:val="single" w:sz="4" w:space="2" w:color="auto"/>
        </w:pBdr>
        <w:spacing w:after="0"/>
        <w:ind w:firstLine="709"/>
        <w:jc w:val="both"/>
      </w:pPr>
    </w:p>
    <w:p w:rsidR="007B2959" w:rsidRDefault="007B2959" w:rsidP="00D342F2">
      <w:pPr>
        <w:pStyle w:val="BodyText"/>
        <w:pBdr>
          <w:bottom w:val="single" w:sz="4" w:space="2" w:color="auto"/>
        </w:pBdr>
        <w:spacing w:after="0"/>
        <w:ind w:firstLine="709"/>
        <w:jc w:val="both"/>
      </w:pPr>
    </w:p>
    <w:p w:rsidR="007B2959" w:rsidRDefault="007B2959" w:rsidP="00D342F2">
      <w:pPr>
        <w:pStyle w:val="BodyText"/>
        <w:pBdr>
          <w:bottom w:val="single" w:sz="4" w:space="2" w:color="auto"/>
        </w:pBdr>
        <w:spacing w:after="0"/>
        <w:ind w:firstLine="709"/>
        <w:jc w:val="both"/>
      </w:pPr>
    </w:p>
    <w:p w:rsidR="007B2959" w:rsidRDefault="007B2959" w:rsidP="00D342F2">
      <w:pPr>
        <w:pStyle w:val="BodyText"/>
        <w:pBdr>
          <w:bottom w:val="single" w:sz="4" w:space="2" w:color="auto"/>
        </w:pBdr>
        <w:spacing w:after="0"/>
        <w:ind w:firstLine="709"/>
        <w:jc w:val="both"/>
      </w:pPr>
    </w:p>
    <w:p w:rsidR="007B2959" w:rsidRDefault="007B2959" w:rsidP="00D342F2">
      <w:pPr>
        <w:pStyle w:val="BodyText"/>
        <w:pBdr>
          <w:bottom w:val="single" w:sz="4" w:space="2" w:color="auto"/>
        </w:pBdr>
        <w:spacing w:after="0"/>
        <w:ind w:firstLine="709"/>
        <w:jc w:val="both"/>
      </w:pPr>
    </w:p>
    <w:p w:rsidR="007B2959" w:rsidRDefault="007B2959" w:rsidP="00D342F2">
      <w:pPr>
        <w:pStyle w:val="BodyText"/>
        <w:pBdr>
          <w:bottom w:val="single" w:sz="4" w:space="2" w:color="auto"/>
        </w:pBdr>
        <w:spacing w:after="0"/>
        <w:ind w:firstLine="709"/>
        <w:jc w:val="both"/>
      </w:pPr>
    </w:p>
    <w:p w:rsidR="007B2959" w:rsidRDefault="007B2959" w:rsidP="00D342F2">
      <w:pPr>
        <w:pStyle w:val="BodyText"/>
        <w:pBdr>
          <w:bottom w:val="single" w:sz="4" w:space="2" w:color="auto"/>
        </w:pBdr>
        <w:spacing w:after="0"/>
        <w:ind w:firstLine="709"/>
        <w:jc w:val="both"/>
      </w:pPr>
    </w:p>
    <w:p w:rsidR="007B2959" w:rsidRDefault="007B2959" w:rsidP="00D342F2">
      <w:pPr>
        <w:pStyle w:val="BodyText"/>
        <w:pBdr>
          <w:bottom w:val="single" w:sz="4" w:space="2" w:color="auto"/>
        </w:pBdr>
        <w:spacing w:after="0"/>
        <w:ind w:firstLine="709"/>
        <w:jc w:val="both"/>
      </w:pPr>
    </w:p>
    <w:p w:rsidR="007B2959" w:rsidRDefault="007B2959" w:rsidP="00D342F2">
      <w:pPr>
        <w:pStyle w:val="BodyText"/>
        <w:pBdr>
          <w:bottom w:val="single" w:sz="4" w:space="2" w:color="auto"/>
        </w:pBdr>
        <w:spacing w:after="0"/>
        <w:ind w:firstLine="709"/>
        <w:jc w:val="both"/>
      </w:pPr>
    </w:p>
    <w:p w:rsidR="007B2959" w:rsidRDefault="007B2959" w:rsidP="00D342F2">
      <w:pPr>
        <w:pStyle w:val="BodyText"/>
        <w:pBdr>
          <w:bottom w:val="single" w:sz="4" w:space="2" w:color="auto"/>
        </w:pBdr>
        <w:spacing w:after="0"/>
        <w:ind w:firstLine="709"/>
        <w:jc w:val="both"/>
      </w:pPr>
    </w:p>
    <w:p w:rsidR="007B2959" w:rsidRDefault="007B2959" w:rsidP="00D342F2">
      <w:pPr>
        <w:pStyle w:val="BodyText"/>
        <w:pBdr>
          <w:bottom w:val="single" w:sz="4" w:space="2" w:color="auto"/>
        </w:pBdr>
        <w:spacing w:after="0"/>
        <w:ind w:firstLine="709"/>
        <w:jc w:val="both"/>
      </w:pPr>
    </w:p>
    <w:p w:rsidR="007B2959" w:rsidRDefault="007B2959" w:rsidP="00D342F2">
      <w:pPr>
        <w:pStyle w:val="BodyText"/>
        <w:pBdr>
          <w:bottom w:val="single" w:sz="4" w:space="2" w:color="auto"/>
        </w:pBdr>
        <w:spacing w:after="0"/>
        <w:ind w:firstLine="709"/>
        <w:jc w:val="both"/>
      </w:pPr>
    </w:p>
    <w:p w:rsidR="007B2959" w:rsidRDefault="007B2959" w:rsidP="00D342F2">
      <w:pPr>
        <w:pStyle w:val="BodyText"/>
        <w:pBdr>
          <w:bottom w:val="single" w:sz="4" w:space="2" w:color="auto"/>
        </w:pBdr>
        <w:spacing w:after="0"/>
        <w:ind w:firstLine="709"/>
        <w:jc w:val="both"/>
      </w:pPr>
    </w:p>
    <w:p w:rsidR="007B2959" w:rsidRDefault="007B2959" w:rsidP="00D342F2">
      <w:pPr>
        <w:pStyle w:val="BodyText"/>
        <w:pBdr>
          <w:bottom w:val="single" w:sz="4" w:space="2" w:color="auto"/>
        </w:pBdr>
        <w:spacing w:after="0"/>
        <w:ind w:firstLine="709"/>
        <w:jc w:val="both"/>
      </w:pPr>
    </w:p>
    <w:sectPr w:rsidR="007B2959" w:rsidSect="00D342F2">
      <w:headerReference w:type="default" r:id="rId8"/>
      <w:footerReference w:type="default" r:id="rId9"/>
      <w:pgSz w:w="11906" w:h="16838"/>
      <w:pgMar w:top="851" w:right="991" w:bottom="1560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959" w:rsidRDefault="007B2959">
      <w:r>
        <w:separator/>
      </w:r>
    </w:p>
  </w:endnote>
  <w:endnote w:type="continuationSeparator" w:id="0">
    <w:p w:rsidR="007B2959" w:rsidRDefault="007B2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959" w:rsidRDefault="007B2959">
    <w:pPr>
      <w:tabs>
        <w:tab w:val="left" w:pos="284"/>
      </w:tabs>
      <w:spacing w:line="255" w:lineRule="atLeast"/>
      <w:jc w:val="both"/>
    </w:pPr>
    <w:r>
      <w:rPr>
        <w:noProof/>
        <w:lang w:eastAsia="ru-RU"/>
      </w:rPr>
      <w:pict>
        <v:line id="_x0000_s2050" style="position:absolute;left:0;text-align:left;z-index:-251654144" from="-2.1pt,-2.4pt" to="498.1pt,-2.4pt" strokeweight=".35mm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959" w:rsidRDefault="007B2959">
      <w:r>
        <w:separator/>
      </w:r>
    </w:p>
  </w:footnote>
  <w:footnote w:type="continuationSeparator" w:id="0">
    <w:p w:rsidR="007B2959" w:rsidRDefault="007B2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959" w:rsidRDefault="007B2959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style="mso-next-textbox:#_x0000_s2049" inset="0,0,0,0">
            <w:txbxContent>
              <w:p w:rsidR="007B2959" w:rsidRDefault="007B2959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7B2959" w:rsidRDefault="007B2959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020E3"/>
    <w:rsid w:val="0001495E"/>
    <w:rsid w:val="00014C0C"/>
    <w:rsid w:val="00015086"/>
    <w:rsid w:val="000209F4"/>
    <w:rsid w:val="0002212C"/>
    <w:rsid w:val="00025064"/>
    <w:rsid w:val="000279FA"/>
    <w:rsid w:val="00033FD6"/>
    <w:rsid w:val="00034874"/>
    <w:rsid w:val="000502B8"/>
    <w:rsid w:val="0006478D"/>
    <w:rsid w:val="00064AE8"/>
    <w:rsid w:val="000664B3"/>
    <w:rsid w:val="00072511"/>
    <w:rsid w:val="00095131"/>
    <w:rsid w:val="000A0B6A"/>
    <w:rsid w:val="000A4CA6"/>
    <w:rsid w:val="000B5019"/>
    <w:rsid w:val="000C26BC"/>
    <w:rsid w:val="000C417E"/>
    <w:rsid w:val="000C6216"/>
    <w:rsid w:val="000D0CF5"/>
    <w:rsid w:val="000D1562"/>
    <w:rsid w:val="000D466A"/>
    <w:rsid w:val="000D7374"/>
    <w:rsid w:val="000E4D14"/>
    <w:rsid w:val="00105F2D"/>
    <w:rsid w:val="0011338A"/>
    <w:rsid w:val="00124385"/>
    <w:rsid w:val="001250A2"/>
    <w:rsid w:val="00135416"/>
    <w:rsid w:val="001401CC"/>
    <w:rsid w:val="00144D5B"/>
    <w:rsid w:val="00145150"/>
    <w:rsid w:val="00145891"/>
    <w:rsid w:val="001523B0"/>
    <w:rsid w:val="001561CD"/>
    <w:rsid w:val="00164F52"/>
    <w:rsid w:val="001710EF"/>
    <w:rsid w:val="00172CB3"/>
    <w:rsid w:val="00183195"/>
    <w:rsid w:val="0018622F"/>
    <w:rsid w:val="0019160D"/>
    <w:rsid w:val="001A0029"/>
    <w:rsid w:val="001A316D"/>
    <w:rsid w:val="001B004B"/>
    <w:rsid w:val="001C78EA"/>
    <w:rsid w:val="001D31DD"/>
    <w:rsid w:val="001D6BA3"/>
    <w:rsid w:val="001E0068"/>
    <w:rsid w:val="001E4B29"/>
    <w:rsid w:val="001E4F54"/>
    <w:rsid w:val="001F3A8E"/>
    <w:rsid w:val="0022029B"/>
    <w:rsid w:val="00222988"/>
    <w:rsid w:val="0022702B"/>
    <w:rsid w:val="00231627"/>
    <w:rsid w:val="00237E0B"/>
    <w:rsid w:val="00240989"/>
    <w:rsid w:val="00246A55"/>
    <w:rsid w:val="0025625E"/>
    <w:rsid w:val="00264F5E"/>
    <w:rsid w:val="002765D0"/>
    <w:rsid w:val="00276CA7"/>
    <w:rsid w:val="00290944"/>
    <w:rsid w:val="002A49BE"/>
    <w:rsid w:val="002A4D07"/>
    <w:rsid w:val="002B02FE"/>
    <w:rsid w:val="002B0E26"/>
    <w:rsid w:val="002B26D1"/>
    <w:rsid w:val="002B6961"/>
    <w:rsid w:val="002C7491"/>
    <w:rsid w:val="002C7984"/>
    <w:rsid w:val="002E0318"/>
    <w:rsid w:val="002F3F62"/>
    <w:rsid w:val="003013A7"/>
    <w:rsid w:val="00302993"/>
    <w:rsid w:val="00311A18"/>
    <w:rsid w:val="003125BA"/>
    <w:rsid w:val="0031738F"/>
    <w:rsid w:val="00317DE8"/>
    <w:rsid w:val="003317BA"/>
    <w:rsid w:val="0034435B"/>
    <w:rsid w:val="00353347"/>
    <w:rsid w:val="00372660"/>
    <w:rsid w:val="00385E53"/>
    <w:rsid w:val="00386463"/>
    <w:rsid w:val="003A7A3E"/>
    <w:rsid w:val="003B1EE6"/>
    <w:rsid w:val="003B3C24"/>
    <w:rsid w:val="003B64B8"/>
    <w:rsid w:val="003C222B"/>
    <w:rsid w:val="003F309A"/>
    <w:rsid w:val="003F33E6"/>
    <w:rsid w:val="00412A70"/>
    <w:rsid w:val="00412AF3"/>
    <w:rsid w:val="00436229"/>
    <w:rsid w:val="00442A3B"/>
    <w:rsid w:val="00443F7A"/>
    <w:rsid w:val="004451EE"/>
    <w:rsid w:val="00450CDE"/>
    <w:rsid w:val="00455BF6"/>
    <w:rsid w:val="004574A4"/>
    <w:rsid w:val="00472688"/>
    <w:rsid w:val="00472DAF"/>
    <w:rsid w:val="004735A4"/>
    <w:rsid w:val="00481506"/>
    <w:rsid w:val="004936B0"/>
    <w:rsid w:val="004937E1"/>
    <w:rsid w:val="004B04E7"/>
    <w:rsid w:val="004C42BF"/>
    <w:rsid w:val="004C59BF"/>
    <w:rsid w:val="004D5081"/>
    <w:rsid w:val="004E5983"/>
    <w:rsid w:val="004E6EED"/>
    <w:rsid w:val="004F171B"/>
    <w:rsid w:val="004F2A9F"/>
    <w:rsid w:val="004F3EC8"/>
    <w:rsid w:val="00506634"/>
    <w:rsid w:val="005076B8"/>
    <w:rsid w:val="00507A0B"/>
    <w:rsid w:val="005149FC"/>
    <w:rsid w:val="0051524C"/>
    <w:rsid w:val="005311F5"/>
    <w:rsid w:val="005372C4"/>
    <w:rsid w:val="00553D01"/>
    <w:rsid w:val="00562D81"/>
    <w:rsid w:val="00566118"/>
    <w:rsid w:val="00573487"/>
    <w:rsid w:val="005743AA"/>
    <w:rsid w:val="0057487D"/>
    <w:rsid w:val="00577A37"/>
    <w:rsid w:val="005944B4"/>
    <w:rsid w:val="005961F9"/>
    <w:rsid w:val="005963E5"/>
    <w:rsid w:val="005B1924"/>
    <w:rsid w:val="005B7FA4"/>
    <w:rsid w:val="005D0A7C"/>
    <w:rsid w:val="00600034"/>
    <w:rsid w:val="00601DBC"/>
    <w:rsid w:val="006263A3"/>
    <w:rsid w:val="00632231"/>
    <w:rsid w:val="006329A3"/>
    <w:rsid w:val="00643764"/>
    <w:rsid w:val="00647A23"/>
    <w:rsid w:val="0065652F"/>
    <w:rsid w:val="00661484"/>
    <w:rsid w:val="00661CBC"/>
    <w:rsid w:val="006774CF"/>
    <w:rsid w:val="00683457"/>
    <w:rsid w:val="0069037D"/>
    <w:rsid w:val="006933F5"/>
    <w:rsid w:val="00694FB1"/>
    <w:rsid w:val="0069538A"/>
    <w:rsid w:val="006A14E8"/>
    <w:rsid w:val="006A36BE"/>
    <w:rsid w:val="006B1713"/>
    <w:rsid w:val="006B4D1A"/>
    <w:rsid w:val="006B60F3"/>
    <w:rsid w:val="006B68DC"/>
    <w:rsid w:val="006C2045"/>
    <w:rsid w:val="006C7C43"/>
    <w:rsid w:val="006D29BC"/>
    <w:rsid w:val="006D79A3"/>
    <w:rsid w:val="006E27CD"/>
    <w:rsid w:val="006F45D8"/>
    <w:rsid w:val="00700A2E"/>
    <w:rsid w:val="00702DAC"/>
    <w:rsid w:val="0070445D"/>
    <w:rsid w:val="00707196"/>
    <w:rsid w:val="00712F17"/>
    <w:rsid w:val="00715DFE"/>
    <w:rsid w:val="00724068"/>
    <w:rsid w:val="007316C7"/>
    <w:rsid w:val="00751367"/>
    <w:rsid w:val="00765402"/>
    <w:rsid w:val="00774593"/>
    <w:rsid w:val="00791905"/>
    <w:rsid w:val="00796506"/>
    <w:rsid w:val="007A4E91"/>
    <w:rsid w:val="007A58CC"/>
    <w:rsid w:val="007B2959"/>
    <w:rsid w:val="007B6606"/>
    <w:rsid w:val="007C798E"/>
    <w:rsid w:val="007D18B5"/>
    <w:rsid w:val="007D271A"/>
    <w:rsid w:val="007F0219"/>
    <w:rsid w:val="007F24DE"/>
    <w:rsid w:val="007F2C9F"/>
    <w:rsid w:val="007F2F4D"/>
    <w:rsid w:val="008114CC"/>
    <w:rsid w:val="00816706"/>
    <w:rsid w:val="0082225D"/>
    <w:rsid w:val="008349E8"/>
    <w:rsid w:val="00842BB7"/>
    <w:rsid w:val="0085672C"/>
    <w:rsid w:val="00861F7A"/>
    <w:rsid w:val="008658E1"/>
    <w:rsid w:val="00877765"/>
    <w:rsid w:val="00880AF7"/>
    <w:rsid w:val="0088208C"/>
    <w:rsid w:val="0088297F"/>
    <w:rsid w:val="008902C3"/>
    <w:rsid w:val="008909B2"/>
    <w:rsid w:val="008921BB"/>
    <w:rsid w:val="008A698B"/>
    <w:rsid w:val="008B28A2"/>
    <w:rsid w:val="008B485A"/>
    <w:rsid w:val="008D30CF"/>
    <w:rsid w:val="008D3F17"/>
    <w:rsid w:val="008E5096"/>
    <w:rsid w:val="008F4698"/>
    <w:rsid w:val="008F77E5"/>
    <w:rsid w:val="008F7BCC"/>
    <w:rsid w:val="0090086D"/>
    <w:rsid w:val="00901C02"/>
    <w:rsid w:val="00904695"/>
    <w:rsid w:val="00904E75"/>
    <w:rsid w:val="0091064B"/>
    <w:rsid w:val="00912C73"/>
    <w:rsid w:val="00945CA7"/>
    <w:rsid w:val="00952D66"/>
    <w:rsid w:val="00980127"/>
    <w:rsid w:val="00982D1F"/>
    <w:rsid w:val="009850D5"/>
    <w:rsid w:val="0098532E"/>
    <w:rsid w:val="00987EA2"/>
    <w:rsid w:val="00991023"/>
    <w:rsid w:val="009924CE"/>
    <w:rsid w:val="00994CC8"/>
    <w:rsid w:val="009A1153"/>
    <w:rsid w:val="009A1DAC"/>
    <w:rsid w:val="009B0CA6"/>
    <w:rsid w:val="009B46EB"/>
    <w:rsid w:val="009B67D2"/>
    <w:rsid w:val="009B7F46"/>
    <w:rsid w:val="009C2282"/>
    <w:rsid w:val="009C3FDB"/>
    <w:rsid w:val="009D5494"/>
    <w:rsid w:val="009E50FA"/>
    <w:rsid w:val="009E64DE"/>
    <w:rsid w:val="009F2270"/>
    <w:rsid w:val="009F2D90"/>
    <w:rsid w:val="00A055A5"/>
    <w:rsid w:val="00A07FA2"/>
    <w:rsid w:val="00A337A4"/>
    <w:rsid w:val="00A450CE"/>
    <w:rsid w:val="00A51E53"/>
    <w:rsid w:val="00A70396"/>
    <w:rsid w:val="00A74038"/>
    <w:rsid w:val="00A76B89"/>
    <w:rsid w:val="00AB0FB2"/>
    <w:rsid w:val="00AC3213"/>
    <w:rsid w:val="00AC38C4"/>
    <w:rsid w:val="00AC6B1F"/>
    <w:rsid w:val="00AC799B"/>
    <w:rsid w:val="00AD0393"/>
    <w:rsid w:val="00AE60D2"/>
    <w:rsid w:val="00AF4339"/>
    <w:rsid w:val="00B00196"/>
    <w:rsid w:val="00B043B9"/>
    <w:rsid w:val="00B0767F"/>
    <w:rsid w:val="00B077D6"/>
    <w:rsid w:val="00B16C33"/>
    <w:rsid w:val="00B23ACC"/>
    <w:rsid w:val="00B40C6E"/>
    <w:rsid w:val="00B410C1"/>
    <w:rsid w:val="00B4629F"/>
    <w:rsid w:val="00B47959"/>
    <w:rsid w:val="00B56391"/>
    <w:rsid w:val="00B56411"/>
    <w:rsid w:val="00B56700"/>
    <w:rsid w:val="00B573D7"/>
    <w:rsid w:val="00B6125C"/>
    <w:rsid w:val="00B72450"/>
    <w:rsid w:val="00B7293E"/>
    <w:rsid w:val="00B77428"/>
    <w:rsid w:val="00B86E89"/>
    <w:rsid w:val="00B9551D"/>
    <w:rsid w:val="00B95667"/>
    <w:rsid w:val="00B96607"/>
    <w:rsid w:val="00BA24A0"/>
    <w:rsid w:val="00BB5289"/>
    <w:rsid w:val="00BB619D"/>
    <w:rsid w:val="00BD0657"/>
    <w:rsid w:val="00BE79FB"/>
    <w:rsid w:val="00BE7F9D"/>
    <w:rsid w:val="00BF7A52"/>
    <w:rsid w:val="00C02B15"/>
    <w:rsid w:val="00C030CD"/>
    <w:rsid w:val="00C06FA3"/>
    <w:rsid w:val="00C114E6"/>
    <w:rsid w:val="00C133F6"/>
    <w:rsid w:val="00C17F95"/>
    <w:rsid w:val="00C237FF"/>
    <w:rsid w:val="00C467AC"/>
    <w:rsid w:val="00C53F2D"/>
    <w:rsid w:val="00C54482"/>
    <w:rsid w:val="00C61940"/>
    <w:rsid w:val="00C70A52"/>
    <w:rsid w:val="00C771DC"/>
    <w:rsid w:val="00C84A75"/>
    <w:rsid w:val="00C924A8"/>
    <w:rsid w:val="00C92DF0"/>
    <w:rsid w:val="00CB1DAC"/>
    <w:rsid w:val="00CB7C25"/>
    <w:rsid w:val="00CC461D"/>
    <w:rsid w:val="00CE6F28"/>
    <w:rsid w:val="00D007B4"/>
    <w:rsid w:val="00D0241C"/>
    <w:rsid w:val="00D23768"/>
    <w:rsid w:val="00D245B3"/>
    <w:rsid w:val="00D24759"/>
    <w:rsid w:val="00D342F2"/>
    <w:rsid w:val="00D46002"/>
    <w:rsid w:val="00D478D2"/>
    <w:rsid w:val="00D52C5B"/>
    <w:rsid w:val="00D55CC0"/>
    <w:rsid w:val="00D56714"/>
    <w:rsid w:val="00D66B8F"/>
    <w:rsid w:val="00D72BC6"/>
    <w:rsid w:val="00D7349F"/>
    <w:rsid w:val="00D74E55"/>
    <w:rsid w:val="00D750AA"/>
    <w:rsid w:val="00D76D9A"/>
    <w:rsid w:val="00D85876"/>
    <w:rsid w:val="00D85EB0"/>
    <w:rsid w:val="00D90709"/>
    <w:rsid w:val="00D945C4"/>
    <w:rsid w:val="00DA411E"/>
    <w:rsid w:val="00DA42DB"/>
    <w:rsid w:val="00DA440F"/>
    <w:rsid w:val="00DB537A"/>
    <w:rsid w:val="00DB58C1"/>
    <w:rsid w:val="00DD1374"/>
    <w:rsid w:val="00DD1BC3"/>
    <w:rsid w:val="00DD3B04"/>
    <w:rsid w:val="00DD3F61"/>
    <w:rsid w:val="00DE3A55"/>
    <w:rsid w:val="00DF2595"/>
    <w:rsid w:val="00DF5480"/>
    <w:rsid w:val="00DF6C15"/>
    <w:rsid w:val="00E04ED1"/>
    <w:rsid w:val="00E105AC"/>
    <w:rsid w:val="00E14A46"/>
    <w:rsid w:val="00E47433"/>
    <w:rsid w:val="00E56F43"/>
    <w:rsid w:val="00E604C7"/>
    <w:rsid w:val="00E640C8"/>
    <w:rsid w:val="00E65027"/>
    <w:rsid w:val="00E661E2"/>
    <w:rsid w:val="00E663B0"/>
    <w:rsid w:val="00E671F7"/>
    <w:rsid w:val="00E67A1D"/>
    <w:rsid w:val="00E851FB"/>
    <w:rsid w:val="00E94441"/>
    <w:rsid w:val="00EA06A6"/>
    <w:rsid w:val="00EA72F6"/>
    <w:rsid w:val="00EB6700"/>
    <w:rsid w:val="00EC5E01"/>
    <w:rsid w:val="00ED0DF8"/>
    <w:rsid w:val="00ED77D2"/>
    <w:rsid w:val="00ED7887"/>
    <w:rsid w:val="00EE7F86"/>
    <w:rsid w:val="00EF4A2D"/>
    <w:rsid w:val="00EF514F"/>
    <w:rsid w:val="00F12D87"/>
    <w:rsid w:val="00F13966"/>
    <w:rsid w:val="00F1511E"/>
    <w:rsid w:val="00F15D0D"/>
    <w:rsid w:val="00F40654"/>
    <w:rsid w:val="00F42DA5"/>
    <w:rsid w:val="00F50281"/>
    <w:rsid w:val="00F50D84"/>
    <w:rsid w:val="00F55655"/>
    <w:rsid w:val="00F56C36"/>
    <w:rsid w:val="00F66379"/>
    <w:rsid w:val="00F72FF2"/>
    <w:rsid w:val="00F76F04"/>
    <w:rsid w:val="00F8286B"/>
    <w:rsid w:val="00F82E1A"/>
    <w:rsid w:val="00F832FB"/>
    <w:rsid w:val="00F84A78"/>
    <w:rsid w:val="00F85C88"/>
    <w:rsid w:val="00F93B89"/>
    <w:rsid w:val="00F95E2F"/>
    <w:rsid w:val="00FA3CC5"/>
    <w:rsid w:val="00FB24A5"/>
    <w:rsid w:val="00FB4755"/>
    <w:rsid w:val="00FB4AF9"/>
    <w:rsid w:val="00FB5F32"/>
    <w:rsid w:val="00FD1A10"/>
    <w:rsid w:val="00FD565E"/>
    <w:rsid w:val="00FD665C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51FB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851FB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851FB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851FB"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851FB"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51FB"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51FB"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B043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43B9"/>
    <w:rPr>
      <w:rFonts w:cs="Times New Roman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B043B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043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043B9"/>
    <w:rPr>
      <w:rFonts w:cs="Times New Roman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B043B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frf.ru/ot_peter/gos_prog/)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440</Words>
  <Characters>2512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2</cp:revision>
  <cp:lastPrinted>2014-05-19T05:15:00Z</cp:lastPrinted>
  <dcterms:created xsi:type="dcterms:W3CDTF">2014-06-06T08:10:00Z</dcterms:created>
  <dcterms:modified xsi:type="dcterms:W3CDTF">2014-06-06T08:10:00Z</dcterms:modified>
</cp:coreProperties>
</file>